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92"/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tbl>
      <w:tblPr>
        <w:tblW w:w="9463" w:type="dxa"/>
        <w:tblInd w:w="108" w:type="dxa"/>
        <w:tblBorders>
          <w:top w:val="none" w:color="000000" w:sz="0" w:space="0"/>
          <w:left w:val="none" w:color="000000" w:sz="0" w:space="0"/>
          <w:bottom w:val="single" w:color="000000" w:sz="24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463"/>
      </w:tblGrid>
      <w:tr>
        <w:tblPrEx>
          <w:tblBorders>
            <w:top w:val="none" w:color="000000" w:sz="0" w:space="0"/>
            <w:left w:val="none" w:color="000000" w:sz="0" w:space="0"/>
            <w:bottom w:val="single" w:color="000000" w:sz="24" w:space="0"/>
            <w:right w:val="none" w:color="000000" w:sz="0" w:space="0"/>
            <w:insideH w:val="none" w:color="000000" w:sz="0" w:space="0"/>
            <w:insideV w:val="none" w:color="000000" w:sz="0" w:space="0"/>
          </w:tblBorders>
        </w:tblPrEx>
        <w:trPr>
          <w:trHeight w:val="2552"/>
        </w:trPr>
        <w:tc>
          <w:tcPr>
            <w:tcBorders>
              <w:top w:val="none" w:color="000000" w:sz="4" w:space="0"/>
              <w:left w:val="none" w:color="000000" w:sz="4" w:space="0"/>
              <w:bottom w:val="single" w:color="000000" w:sz="24" w:space="0"/>
              <w:right w:val="none" w:color="000000" w:sz="4" w:space="0"/>
            </w:tcBorders>
            <w:tcW w:w="9463" w:type="dxa"/>
            <w:vAlign w:val="top"/>
            <w:textDirection w:val="lrTb"/>
            <w:noWrap w:val="false"/>
          </w:tcPr>
          <w:p>
            <w:pPr>
              <w:pStyle w:val="692"/>
              <w:jc w:val="center"/>
              <w:keepNext/>
              <w:spacing w:line="360" w:lineRule="auto"/>
              <w:rPr>
                <w:rFonts w:cs="Arial Unicode MS"/>
                <w:b/>
                <w:sz w:val="28"/>
                <w:lang w:val="ru-RU"/>
              </w:rPr>
              <w:outlineLvl w:val="0"/>
            </w:pPr>
            <w:r>
              <w:rPr>
                <w:rFonts w:cs="Arial Unicode MS"/>
                <w:b/>
                <w:sz w:val="28"/>
                <w:lang w:val="ru-RU"/>
              </w:rPr>
              <w:t xml:space="preserve">Р о с с и й с к а я  Ф е д е р а ц и я</w:t>
            </w:r>
            <w:r>
              <w:rPr>
                <w:rFonts w:cs="Arial Unicode MS"/>
                <w:b/>
                <w:sz w:val="28"/>
                <w:lang w:val="ru-RU"/>
              </w:rPr>
            </w:r>
          </w:p>
          <w:p>
            <w:pPr>
              <w:pStyle w:val="692"/>
              <w:jc w:val="center"/>
              <w:keepNext/>
              <w:rPr>
                <w:b/>
                <w:sz w:val="32"/>
                <w:lang w:val="ru-RU"/>
              </w:rPr>
              <w:outlineLvl w:val="4"/>
            </w:pPr>
            <w:r>
              <w:rPr>
                <w:b/>
                <w:sz w:val="32"/>
                <w:lang w:val="ru-RU"/>
              </w:rPr>
              <w:t xml:space="preserve">Иркутская область</w:t>
            </w:r>
            <w:r>
              <w:rPr>
                <w:b/>
                <w:sz w:val="32"/>
                <w:lang w:val="ru-RU"/>
              </w:rPr>
            </w:r>
          </w:p>
          <w:p>
            <w:pPr>
              <w:pStyle w:val="692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 xml:space="preserve">Тайшетский муниципальный округ Иркутской области</w:t>
            </w:r>
            <w:r>
              <w:rPr>
                <w:b/>
                <w:sz w:val="32"/>
                <w:lang w:val="ru-RU"/>
              </w:rPr>
            </w:r>
          </w:p>
          <w:p>
            <w:pPr>
              <w:pStyle w:val="692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  <w:t xml:space="preserve">ДУМА ТАЙШЕТСКОГО МУНИЦИПАЛЬНОГО ОКРУГА ИРКУТСКОЙ ОБЛАСТИ</w:t>
            </w:r>
            <w:r>
              <w:rPr>
                <w:b/>
                <w:sz w:val="32"/>
                <w:lang w:val="ru-RU"/>
              </w:rPr>
            </w:r>
          </w:p>
          <w:p>
            <w:pPr>
              <w:pStyle w:val="692"/>
              <w:jc w:val="center"/>
              <w:rPr>
                <w:b/>
                <w:sz w:val="32"/>
                <w:lang w:val="ru-RU"/>
              </w:rPr>
            </w:pPr>
            <w:r>
              <w:rPr>
                <w:b/>
                <w:sz w:val="32"/>
                <w:lang w:val="ru-RU"/>
              </w:rPr>
            </w:r>
            <w:r>
              <w:rPr>
                <w:b/>
                <w:sz w:val="32"/>
                <w:lang w:val="ru-RU"/>
              </w:rPr>
            </w:r>
          </w:p>
          <w:p>
            <w:pPr>
              <w:pStyle w:val="692"/>
              <w:jc w:val="center"/>
              <w:keepNext/>
              <w:rPr>
                <w:b/>
                <w:sz w:val="44"/>
                <w:szCs w:val="20"/>
                <w:lang w:val="ru-RU"/>
              </w:rPr>
              <w:outlineLvl w:val="6"/>
            </w:pPr>
            <w:r>
              <w:rPr>
                <w:b/>
                <w:sz w:val="44"/>
              </w:rPr>
              <w:t xml:space="preserve">РЕШЕНИЕ</w:t>
            </w:r>
            <w:r>
              <w:rPr>
                <w:b/>
                <w:sz w:val="44"/>
                <w:szCs w:val="20"/>
                <w:lang w:val="ru-RU"/>
              </w:rPr>
              <w:t xml:space="preserve"> </w:t>
            </w:r>
            <w:r>
              <w:rPr>
                <w:b/>
                <w:sz w:val="44"/>
                <w:szCs w:val="20"/>
                <w:lang w:val="ru-RU"/>
              </w:rPr>
            </w:r>
          </w:p>
        </w:tc>
      </w:tr>
    </w:tbl>
    <w:p>
      <w:pPr>
        <w:pStyle w:val="692"/>
        <w:ind w:right="-568"/>
        <w:rPr>
          <w:szCs w:val="20"/>
          <w:lang w:val="ru-RU"/>
        </w:rPr>
      </w:pPr>
      <w:r>
        <w:rPr>
          <w:szCs w:val="20"/>
          <w:lang w:val="ru-RU"/>
        </w:rPr>
      </w:r>
      <w:r>
        <w:rPr>
          <w:szCs w:val="20"/>
          <w:lang w:val="ru-RU"/>
        </w:rPr>
      </w:r>
    </w:p>
    <w:p>
      <w:pPr>
        <w:pStyle w:val="692"/>
        <w:ind w:right="-568"/>
        <w:rPr>
          <w:lang w:val="ru-RU"/>
        </w:rPr>
      </w:pPr>
      <w:r>
        <w:rPr>
          <w:lang w:val="ru-RU"/>
        </w:rPr>
        <w:t xml:space="preserve">от </w:t>
      </w:r>
      <w:r>
        <w:rPr>
          <w:lang w:val="ru-RU"/>
        </w:rPr>
        <w:t xml:space="preserve">«23</w:t>
      </w:r>
      <w:r>
        <w:rPr>
          <w:lang w:val="ru-RU"/>
        </w:rPr>
        <w:t xml:space="preserve">» июля </w:t>
      </w:r>
      <w:r>
        <w:rPr>
          <w:lang w:val="ru-RU"/>
        </w:rPr>
        <w:t xml:space="preserve">202</w:t>
      </w:r>
      <w:r>
        <w:rPr>
          <w:lang w:val="ru-RU"/>
        </w:rPr>
        <w:t xml:space="preserve">6</w:t>
      </w:r>
      <w:r>
        <w:rPr>
          <w:lang w:val="ru-RU"/>
        </w:rPr>
        <w:t xml:space="preserve"> года                                                           </w:t>
      </w:r>
      <w:r>
        <w:rPr>
          <w:lang w:val="ru-RU"/>
        </w:rPr>
        <w:t xml:space="preserve">                                         </w:t>
      </w:r>
      <w:r>
        <w:rPr>
          <w:lang w:val="ru-RU"/>
        </w:rPr>
        <w:t xml:space="preserve">  №</w:t>
      </w:r>
      <w:r>
        <w:rPr>
          <w:lang w:val="ru-RU"/>
        </w:rPr>
        <w:t xml:space="preserve"> 391</w:t>
      </w:r>
      <w:r>
        <w:rPr>
          <w:lang w:val="ru-RU"/>
        </w:rPr>
      </w:r>
      <w:r>
        <w:rPr>
          <w:lang w:val="ru-RU"/>
        </w:rPr>
      </w:r>
    </w:p>
    <w:p>
      <w:pPr>
        <w:pStyle w:val="692"/>
        <w:ind w:right="-568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928"/>
      </w:tblGrid>
      <w:tr>
        <w:tblPrEx/>
        <w:trPr>
          <w:trHeight w:val="595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28" w:type="dxa"/>
            <w:vAlign w:val="top"/>
            <w:textDirection w:val="lrTb"/>
            <w:noWrap w:val="false"/>
          </w:tcPr>
          <w:p>
            <w:pPr>
              <w:pStyle w:val="692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</w:t>
            </w:r>
            <w:r>
              <w:rPr>
                <w:lang w:val="ru-RU"/>
              </w:rPr>
              <w:t xml:space="preserve">б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утверждении </w:t>
            </w:r>
            <w:r>
              <w:rPr>
                <w:lang w:val="ru-RU"/>
              </w:rPr>
              <w:t xml:space="preserve">ликвидационного баланса </w:t>
            </w:r>
            <w:r>
              <w:rPr>
                <w:lang w:val="ru-RU"/>
              </w:rPr>
              <w:t xml:space="preserve">муниципального учреждения </w:t>
            </w:r>
            <w:r>
              <w:rPr>
                <w:lang w:val="ru-RU"/>
              </w:rPr>
              <w:t xml:space="preserve">«Дума </w:t>
            </w:r>
            <w:r>
              <w:rPr>
                <w:lang w:val="ru-RU"/>
              </w:rPr>
              <w:t xml:space="preserve">Венгерского </w:t>
            </w:r>
            <w:r>
              <w:rPr>
                <w:lang w:val="ru-RU"/>
              </w:rPr>
              <w:t xml:space="preserve">муниципального образования»»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pStyle w:val="692"/>
              <w:jc w:val="both"/>
              <w:rPr>
                <w:szCs w:val="20"/>
                <w:lang w:val="ru-RU"/>
              </w:rPr>
            </w:pPr>
            <w:r>
              <w:rPr>
                <w:szCs w:val="20"/>
                <w:lang w:val="ru-RU"/>
              </w:rPr>
            </w:r>
            <w:r>
              <w:rPr>
                <w:szCs w:val="20"/>
                <w:lang w:val="ru-RU"/>
              </w:rPr>
            </w:r>
          </w:p>
        </w:tc>
      </w:tr>
    </w:tbl>
    <w:p>
      <w:pPr>
        <w:pStyle w:val="692"/>
        <w:contextualSpacing/>
        <w:ind w:firstLine="709"/>
        <w:jc w:val="both"/>
        <w:widowControl w:val="off"/>
        <w:tabs>
          <w:tab w:val="left" w:pos="1134" w:leader="none"/>
        </w:tabs>
        <w:rPr>
          <w:lang w:val="ru-RU"/>
        </w:rPr>
      </w:pPr>
      <w:r>
        <w:rPr>
          <w:lang w:val="ru-RU"/>
        </w:rPr>
        <w:t xml:space="preserve">В соответствии со статьей </w:t>
      </w:r>
      <w:r>
        <w:rPr>
          <w:lang w:val="ru-RU"/>
        </w:rPr>
        <w:t xml:space="preserve">16</w:t>
      </w:r>
      <w:r>
        <w:rPr>
          <w:color w:val="ff0000"/>
          <w:lang w:val="ru-RU"/>
        </w:rPr>
        <w:t xml:space="preserve"> </w:t>
      </w:r>
      <w:r>
        <w:rPr>
          <w:lang w:val="ru-RU"/>
        </w:rPr>
        <w:t xml:space="preserve">Федерального Закона</w:t>
      </w:r>
      <w:r>
        <w:rPr>
          <w:lang w:val="ru-RU"/>
        </w:rPr>
        <w:t xml:space="preserve"> </w:t>
      </w:r>
      <w:r>
        <w:rPr>
          <w:lang w:val="ru-RU"/>
        </w:rPr>
        <w:t xml:space="preserve">от 6 октября </w:t>
      </w:r>
      <w:r>
        <w:rPr>
          <w:lang w:val="ru-RU"/>
        </w:rPr>
        <w:t xml:space="preserve">2003</w:t>
      </w:r>
      <w:r>
        <w:rPr>
          <w:lang w:val="ru-RU"/>
        </w:rPr>
        <w:t xml:space="preserve"> года                         </w:t>
      </w:r>
      <w:r>
        <w:rPr>
          <w:lang w:val="ru-RU"/>
        </w:rPr>
        <w:t xml:space="preserve">№ 131-ФЗ</w:t>
      </w:r>
      <w:r>
        <w:rPr>
          <w:lang w:val="ru-RU"/>
        </w:rPr>
        <w:t xml:space="preserve"> </w:t>
      </w:r>
      <w:r>
        <w:rPr>
          <w:lang w:val="ru-RU"/>
        </w:rPr>
        <w:t xml:space="preserve">"</w:t>
      </w:r>
      <w:r>
        <w:rPr>
          <w:lang w:val="ru-RU"/>
        </w:rPr>
        <w:t xml:space="preserve">Об общих принципах организации местного самоуправления в Российской Федерации</w:t>
      </w:r>
      <w:r>
        <w:rPr>
          <w:lang w:val="ru-RU"/>
        </w:rPr>
        <w:t xml:space="preserve">"</w:t>
      </w:r>
      <w:r>
        <w:rPr>
          <w:lang w:val="ru-RU"/>
        </w:rPr>
        <w:t xml:space="preserve">,</w:t>
      </w:r>
      <w:r>
        <w:rPr>
          <w:lang w:val="ru-RU"/>
        </w:rPr>
        <w:t xml:space="preserve"> статьями </w:t>
      </w:r>
      <w:r>
        <w:rPr>
          <w:lang w:val="ru-RU"/>
        </w:rPr>
        <w:t xml:space="preserve">65, 66, 68</w:t>
      </w:r>
      <w:r>
        <w:rPr>
          <w:lang w:val="ru-RU"/>
        </w:rPr>
        <w:t xml:space="preserve"> Федерального закона от 20 марта 2025 года </w:t>
      </w:r>
      <w:r>
        <w:rPr>
          <w:lang w:val="ru-RU"/>
        </w:rPr>
        <w:t xml:space="preserve">№ 33-ФЗ "Об общих принципах организации местного самоуправления в единой системе публичной власти",</w:t>
      </w:r>
      <w:r>
        <w:rPr>
          <w:lang w:val="ru-RU"/>
        </w:rPr>
        <w:t xml:space="preserve"> </w:t>
      </w:r>
      <w:r>
        <w:rPr>
          <w:lang w:val="ru-RU"/>
        </w:rPr>
        <w:t xml:space="preserve">Законом</w:t>
      </w:r>
      <w:r>
        <w:rPr>
          <w:lang w:val="ru-RU"/>
        </w:rPr>
        <w:t xml:space="preserve"> Иркут</w:t>
      </w:r>
      <w:r>
        <w:rPr>
          <w:lang w:val="ru-RU"/>
        </w:rPr>
        <w:t xml:space="preserve">ской области от 23 апреля </w:t>
      </w:r>
      <w:r>
        <w:rPr>
          <w:lang w:val="ru-RU"/>
        </w:rPr>
        <w:t xml:space="preserve">2025 года № 26-ОЗ "О преобразовании всех поселений, входящих в состав муниципального образования "Тайшетский муниципальный район Иркутской области", путем их объединения"</w:t>
      </w:r>
      <w:r>
        <w:rPr>
          <w:lang w:val="ru-RU"/>
        </w:rPr>
        <w:t xml:space="preserve">, </w:t>
      </w:r>
      <w:r>
        <w:rPr>
          <w:lang w:val="ru-RU"/>
        </w:rPr>
        <w:t xml:space="preserve">р</w:t>
      </w:r>
      <w:r>
        <w:rPr>
          <w:lang w:val="ru-RU"/>
        </w:rPr>
        <w:t xml:space="preserve">ешением Думы</w:t>
      </w:r>
      <w:r>
        <w:rPr>
          <w:lang w:val="ru-RU"/>
        </w:rPr>
        <w:t xml:space="preserve"> Тайшетского муниципального округа Иркутской области</w:t>
      </w:r>
      <w:r>
        <w:rPr>
          <w:lang w:val="ru-RU"/>
        </w:rPr>
        <w:t xml:space="preserve"> от 22 сентября 2025 года № 10 </w:t>
      </w:r>
      <w:r>
        <w:rPr>
          <w:lang w:val="ru-RU"/>
        </w:rPr>
        <w:t xml:space="preserve">"</w:t>
      </w:r>
      <w:r>
        <w:rPr>
          <w:lang w:val="ru-RU"/>
        </w:rPr>
        <w:t xml:space="preserve">Об утверждении Положения о порядке правопреемства  органов местного самоуправления Тайшетского муниципа</w:t>
      </w:r>
      <w:r>
        <w:rPr>
          <w:lang w:val="ru-RU"/>
        </w:rPr>
        <w:t xml:space="preserve">льного округа Иркутской области</w:t>
      </w:r>
      <w:r>
        <w:rPr>
          <w:lang w:val="ru-RU"/>
        </w:rPr>
        <w:t xml:space="preserve">"</w:t>
      </w:r>
      <w:r>
        <w:rPr>
          <w:lang w:val="ru-RU"/>
        </w:rPr>
        <w:t xml:space="preserve"> </w:t>
      </w:r>
      <w:r>
        <w:rPr>
          <w:lang w:val="ru-RU"/>
        </w:rPr>
        <w:t xml:space="preserve">(</w:t>
      </w:r>
      <w:r>
        <w:rPr>
          <w:lang w:val="ru-RU"/>
        </w:rPr>
        <w:t xml:space="preserve">в </w:t>
      </w:r>
      <w:r>
        <w:rPr>
          <w:lang w:val="ru-RU"/>
        </w:rPr>
        <w:t xml:space="preserve">редакци</w:t>
      </w:r>
      <w:r>
        <w:rPr>
          <w:lang w:val="ru-RU"/>
        </w:rPr>
        <w:t xml:space="preserve">и решения Думы Тайшетского муниципального округа Иркутской области</w:t>
      </w:r>
      <w:r>
        <w:rPr>
          <w:lang w:val="ru-RU"/>
        </w:rPr>
        <w:t xml:space="preserve"> от 19 декабря 2025 года</w:t>
      </w:r>
      <w:r>
        <w:rPr>
          <w:lang w:val="ru-RU"/>
        </w:rPr>
        <w:t xml:space="preserve"> № 79</w:t>
      </w:r>
      <w:r>
        <w:rPr>
          <w:lang w:val="ru-RU"/>
        </w:rPr>
        <w:t xml:space="preserve">)</w:t>
      </w:r>
      <w:r>
        <w:rPr>
          <w:lang w:val="ru-RU"/>
        </w:rPr>
        <w:t xml:space="preserve">,</w:t>
      </w:r>
      <w:r>
        <w:rPr>
          <w:lang w:val="ru-RU"/>
        </w:rPr>
        <w:t xml:space="preserve"> руководствуясь статьями 6,21,36 Устава Тайшетского муниципального округа Иркутской области,</w:t>
      </w:r>
      <w:r>
        <w:rPr>
          <w:lang w:val="ru-RU"/>
        </w:rPr>
        <w:t xml:space="preserve"> Дума Тайшетского муниципального округа Иркутской области</w:t>
      </w:r>
      <w:r>
        <w:rPr>
          <w:lang w:val="ru-RU"/>
        </w:rPr>
      </w:r>
      <w:r>
        <w:rPr>
          <w:lang w:val="ru-RU"/>
        </w:rPr>
      </w:r>
    </w:p>
    <w:p>
      <w:pPr>
        <w:pStyle w:val="692"/>
        <w:contextualSpacing/>
        <w:ind w:firstLine="709"/>
        <w:jc w:val="both"/>
        <w:widowControl w:val="off"/>
        <w:tabs>
          <w:tab w:val="left" w:pos="1134" w:leader="none"/>
        </w:tabs>
        <w:rPr>
          <w:lang w:val="ru-RU"/>
        </w:rPr>
      </w:pPr>
      <w:r>
        <w:rPr>
          <w:lang w:val="ru-RU"/>
        </w:rPr>
        <w:t xml:space="preserve">  </w:t>
      </w:r>
      <w:r>
        <w:rPr>
          <w:lang w:val="ru-RU"/>
        </w:rPr>
      </w:r>
    </w:p>
    <w:p>
      <w:pPr>
        <w:pStyle w:val="692"/>
        <w:rPr>
          <w:b/>
          <w:lang w:val="ru-RU"/>
        </w:rPr>
      </w:pPr>
      <w:r>
        <w:rPr>
          <w:b/>
          <w:lang w:val="ru-RU"/>
        </w:rPr>
        <w:t xml:space="preserve">РЕШИЛ</w:t>
      </w:r>
      <w:r>
        <w:rPr>
          <w:b/>
          <w:lang w:val="ru-RU"/>
        </w:rPr>
        <w:t xml:space="preserve">А:</w:t>
      </w:r>
      <w:r>
        <w:rPr>
          <w:b/>
          <w:lang w:val="ru-RU"/>
        </w:rPr>
      </w:r>
    </w:p>
    <w:p>
      <w:pPr>
        <w:pStyle w:val="692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92"/>
        <w:contextualSpacing/>
        <w:ind w:firstLine="708"/>
        <w:jc w:val="both"/>
        <w:rPr>
          <w:lang w:val="ru-RU"/>
        </w:rPr>
      </w:pPr>
      <w:r>
        <w:rPr>
          <w:lang w:val="ru-RU"/>
        </w:rPr>
        <w:t xml:space="preserve">1. </w:t>
      </w:r>
      <w:r>
        <w:rPr>
          <w:lang w:val="ru-RU"/>
        </w:rPr>
        <w:t xml:space="preserve">Утвердить</w:t>
      </w:r>
      <w:r>
        <w:rPr>
          <w:lang w:val="ru-RU"/>
        </w:rPr>
        <w:t xml:space="preserve"> </w:t>
      </w:r>
      <w:r>
        <w:rPr>
          <w:lang w:val="ru-RU"/>
        </w:rPr>
        <w:t xml:space="preserve">ликвидационный баланс муниципально</w:t>
      </w:r>
      <w:r>
        <w:rPr>
          <w:lang w:val="ru-RU"/>
        </w:rPr>
        <w:t xml:space="preserve">го</w:t>
      </w:r>
      <w:r>
        <w:rPr>
          <w:lang w:val="ru-RU"/>
        </w:rPr>
        <w:t xml:space="preserve"> учреждени</w:t>
      </w:r>
      <w:r>
        <w:rPr>
          <w:lang w:val="ru-RU"/>
        </w:rPr>
        <w:t xml:space="preserve">я</w:t>
      </w:r>
      <w:r>
        <w:rPr>
          <w:lang w:val="ru-RU"/>
        </w:rPr>
        <w:t xml:space="preserve"> </w:t>
      </w:r>
      <w:r>
        <w:rPr>
          <w:lang w:val="ru-RU"/>
        </w:rPr>
        <w:t xml:space="preserve">«</w:t>
      </w:r>
      <w:r>
        <w:rPr>
          <w:lang w:val="ru-RU"/>
        </w:rPr>
        <w:t xml:space="preserve">Дума </w:t>
      </w:r>
      <w:r>
        <w:rPr>
          <w:lang w:val="ru-RU"/>
        </w:rPr>
        <w:t xml:space="preserve">Венгерского </w:t>
      </w:r>
      <w:r>
        <w:rPr>
          <w:lang w:val="ru-RU"/>
        </w:rPr>
        <w:t xml:space="preserve">муниципального образования</w:t>
      </w:r>
      <w:r>
        <w:rPr>
          <w:lang w:val="ru-RU"/>
        </w:rPr>
        <w:t xml:space="preserve">"</w:t>
      </w:r>
      <w:r>
        <w:rPr>
          <w:lang w:val="ru-RU"/>
        </w:rPr>
        <w:t xml:space="preserve"> по состоянию на </w:t>
      </w:r>
      <w:r>
        <w:rPr>
          <w:lang w:val="ru-RU"/>
        </w:rPr>
        <w:t xml:space="preserve">1 июля</w:t>
      </w:r>
      <w:r>
        <w:rPr>
          <w:lang w:val="ru-RU"/>
        </w:rPr>
        <w:t xml:space="preserve"> 2026 года </w:t>
      </w:r>
      <w:r>
        <w:rPr>
          <w:color w:val="000000"/>
          <w:lang w:val="ru-RU"/>
        </w:rPr>
        <w:t xml:space="preserve">(ОГРН</w:t>
      </w:r>
      <w:r>
        <w:rPr>
          <w:color w:val="000000"/>
          <w:lang w:val="ru-RU"/>
        </w:rPr>
        <w:t xml:space="preserve"> </w:t>
      </w:r>
      <w:r>
        <w:rPr>
          <w:color w:val="000000"/>
          <w:lang w:val="ru-RU"/>
        </w:rPr>
        <w:t xml:space="preserve">1053815024482</w:t>
      </w:r>
      <w:r>
        <w:rPr>
          <w:color w:val="000000"/>
          <w:lang w:val="ru-RU"/>
        </w:rPr>
        <w:t xml:space="preserve">, ИНН/КПП </w:t>
      </w:r>
      <w:r>
        <w:rPr>
          <w:color w:val="000000"/>
          <w:lang w:val="ru-RU"/>
        </w:rPr>
        <w:t xml:space="preserve">3815009280</w:t>
      </w:r>
      <w:r>
        <w:rPr>
          <w:color w:val="000000"/>
          <w:lang w:val="ru-RU"/>
        </w:rPr>
        <w:t xml:space="preserve">/3815</w:t>
      </w:r>
      <w:r>
        <w:rPr>
          <w:color w:val="000000"/>
          <w:lang w:val="ru-RU"/>
        </w:rPr>
        <w:t xml:space="preserve">01001, юридический адрес: 665037, </w:t>
      </w:r>
      <w:r>
        <w:rPr>
          <w:color w:val="000000"/>
          <w:lang w:val="ru-RU"/>
        </w:rPr>
        <w:t xml:space="preserve">Иркутская область, Тайшетский р-н, </w:t>
      </w:r>
      <w:r>
        <w:rPr>
          <w:color w:val="000000"/>
          <w:lang w:val="ru-RU"/>
        </w:rPr>
        <w:t xml:space="preserve">п. Венгерка</w:t>
      </w:r>
      <w:r>
        <w:rPr>
          <w:color w:val="000000"/>
          <w:lang w:val="ru-RU"/>
        </w:rPr>
        <w:t xml:space="preserve">, </w:t>
      </w:r>
      <w:r>
        <w:rPr>
          <w:color w:val="000000"/>
          <w:lang w:val="ru-RU"/>
        </w:rPr>
        <w:t xml:space="preserve">ул. Центральная, зд. 1А</w:t>
      </w:r>
      <w:r>
        <w:rPr>
          <w:color w:val="000000"/>
          <w:lang w:val="ru-RU"/>
        </w:rPr>
        <w:t xml:space="preserve">)</w:t>
      </w:r>
      <w:r>
        <w:rPr>
          <w:lang w:val="ru-RU"/>
        </w:rPr>
        <w:t xml:space="preserve"> </w:t>
      </w:r>
      <w:r>
        <w:rPr>
          <w:lang w:val="ru-RU"/>
        </w:rPr>
        <w:t xml:space="preserve">(прилагается)</w:t>
      </w:r>
      <w:r>
        <w:rPr>
          <w:lang w:val="ru-RU"/>
        </w:rPr>
        <w:t xml:space="preserve">.</w:t>
      </w:r>
      <w:r>
        <w:rPr>
          <w:lang w:val="ru-RU"/>
        </w:rPr>
        <w:t xml:space="preserve"> </w:t>
      </w:r>
      <w:r>
        <w:rPr>
          <w:lang w:val="ru-RU"/>
        </w:rPr>
      </w:r>
      <w:r>
        <w:rPr>
          <w:lang w:val="ru-RU"/>
        </w:rPr>
      </w:r>
    </w:p>
    <w:p>
      <w:pPr>
        <w:pStyle w:val="692"/>
        <w:ind w:firstLine="708"/>
        <w:jc w:val="both"/>
        <w:rPr>
          <w:lang w:val="ru-RU"/>
        </w:rPr>
      </w:pPr>
      <w:r>
        <w:rPr>
          <w:lang w:val="ru-RU"/>
        </w:rPr>
        <w:t xml:space="preserve">2. </w:t>
      </w:r>
      <w:r>
        <w:rPr>
          <w:lang w:val="ru-RU"/>
        </w:rPr>
        <w:t xml:space="preserve">Р</w:t>
      </w:r>
      <w:r>
        <w:rPr>
          <w:lang w:val="ru-RU"/>
        </w:rPr>
        <w:t xml:space="preserve">азместить </w:t>
      </w:r>
      <w:r>
        <w:rPr>
          <w:lang w:val="ru-RU"/>
        </w:rPr>
        <w:t xml:space="preserve">настоящее решение </w:t>
      </w:r>
      <w:r>
        <w:rPr>
          <w:lang w:val="ru-RU"/>
        </w:rPr>
        <w:t xml:space="preserve">на официальном сайте администрации Тайшетского </w:t>
      </w:r>
      <w:r>
        <w:rPr>
          <w:lang w:val="ru-RU"/>
        </w:rPr>
        <w:t xml:space="preserve">муниципального округа</w:t>
      </w:r>
      <w:r>
        <w:rPr>
          <w:lang w:val="ru-RU"/>
        </w:rPr>
        <w:t xml:space="preserve">.</w:t>
      </w:r>
      <w:r>
        <w:rPr>
          <w:lang w:val="ru-RU"/>
        </w:rPr>
      </w:r>
      <w:r>
        <w:rPr>
          <w:lang w:val="ru-RU"/>
        </w:rPr>
      </w:r>
    </w:p>
    <w:p>
      <w:pPr>
        <w:pStyle w:val="692"/>
        <w:ind w:firstLine="708"/>
        <w:jc w:val="both"/>
        <w:rPr>
          <w:lang w:val="ru-RU"/>
        </w:rPr>
      </w:pPr>
      <w:r>
        <w:rPr>
          <w:lang w:val="ru-RU"/>
        </w:rPr>
        <w:t xml:space="preserve">3</w:t>
      </w:r>
      <w:r>
        <w:rPr>
          <w:lang w:val="ru-RU"/>
        </w:rPr>
        <w:t xml:space="preserve">. </w:t>
      </w:r>
      <w:r>
        <w:rPr>
          <w:lang w:val="ru-RU"/>
        </w:rPr>
        <w:t xml:space="preserve">   </w:t>
      </w:r>
      <w:r>
        <w:rPr>
          <w:lang w:val="ru-RU"/>
        </w:rPr>
        <w:t xml:space="preserve">Настоящее решение вступает в силу с</w:t>
      </w:r>
      <w:r>
        <w:rPr>
          <w:lang w:val="ru-RU"/>
        </w:rPr>
        <w:t xml:space="preserve">о дня его</w:t>
      </w:r>
      <w:r>
        <w:rPr>
          <w:lang w:val="ru-RU"/>
        </w:rPr>
        <w:t xml:space="preserve"> </w:t>
      </w:r>
      <w:r>
        <w:rPr>
          <w:lang w:val="ru-RU"/>
        </w:rPr>
        <w:t xml:space="preserve">принятия</w:t>
      </w:r>
      <w:r>
        <w:rPr>
          <w:lang w:val="ru-RU"/>
        </w:rPr>
        <w:t xml:space="preserve">.</w:t>
      </w:r>
      <w:r>
        <w:rPr>
          <w:lang w:val="ru-RU"/>
        </w:rPr>
      </w:r>
    </w:p>
    <w:p>
      <w:pPr>
        <w:pStyle w:val="692"/>
        <w:ind w:firstLine="708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92"/>
        <w:ind w:firstLine="708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92"/>
        <w:ind w:firstLine="708"/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</w:p>
    <w:p>
      <w:pPr>
        <w:pStyle w:val="692"/>
        <w:rPr>
          <w:lang w:val="ru-RU" w:eastAsia="ru-RU"/>
        </w:rPr>
      </w:pPr>
      <w:r>
        <w:rPr>
          <w:lang w:val="ru-RU" w:eastAsia="ru-RU"/>
        </w:rPr>
        <w:t xml:space="preserve">Председатель Думы </w:t>
        <w:tab/>
      </w:r>
      <w:r>
        <w:rPr>
          <w:lang w:val="ru-RU" w:eastAsia="ru-RU"/>
        </w:rPr>
      </w:r>
    </w:p>
    <w:p>
      <w:pPr>
        <w:pStyle w:val="692"/>
        <w:jc w:val="both"/>
        <w:rPr>
          <w:lang w:val="ru-RU" w:eastAsia="ru-RU"/>
        </w:rPr>
      </w:pPr>
      <w:r>
        <w:rPr>
          <w:lang w:val="ru-RU" w:eastAsia="ru-RU"/>
        </w:rPr>
        <w:t xml:space="preserve">Тайшетского муниципального округа    </w:t>
      </w:r>
      <w:r>
        <w:rPr>
          <w:lang w:val="ru-RU" w:eastAsia="ru-RU"/>
        </w:rPr>
        <w:t xml:space="preserve"> </w:t>
      </w:r>
      <w:r>
        <w:rPr>
          <w:lang w:val="ru-RU" w:eastAsia="ru-RU"/>
        </w:rPr>
        <w:t xml:space="preserve">                                    </w:t>
      </w:r>
      <w:r>
        <w:rPr>
          <w:lang w:val="ru-RU" w:eastAsia="ru-RU"/>
        </w:rPr>
        <w:t xml:space="preserve">                     </w:t>
      </w:r>
      <w:r>
        <w:rPr>
          <w:lang w:val="ru-RU" w:eastAsia="ru-RU"/>
        </w:rPr>
        <w:t xml:space="preserve">     </w:t>
      </w:r>
      <w:r>
        <w:rPr>
          <w:lang w:val="ru-RU" w:eastAsia="ru-RU"/>
        </w:rPr>
        <w:t xml:space="preserve">И.В. Ронжина             </w:t>
      </w:r>
      <w:r>
        <w:rPr>
          <w:lang w:val="ru-RU" w:eastAsia="ru-RU"/>
        </w:rPr>
        <w:t xml:space="preserve">                                                             </w:t>
      </w:r>
      <w:r>
        <w:rPr>
          <w:lang w:val="ru-RU" w:eastAsia="ru-RU"/>
        </w:rPr>
      </w:r>
    </w:p>
    <w:p>
      <w:pPr>
        <w:pStyle w:val="692"/>
        <w:rPr>
          <w:lang w:val="ru-RU" w:eastAsia="ru-RU"/>
        </w:rPr>
      </w:pPr>
      <w:r>
        <w:rPr>
          <w:lang w:val="ru-RU" w:eastAsia="ru-RU"/>
        </w:rPr>
        <w:t xml:space="preserve">                </w:t>
      </w:r>
      <w:r>
        <w:rPr>
          <w:lang w:val="ru-RU" w:eastAsia="ru-RU"/>
        </w:rPr>
      </w:r>
      <w:r>
        <w:rPr>
          <w:lang w:val="ru-RU" w:eastAsia="ru-RU"/>
        </w:rPr>
      </w:r>
    </w:p>
    <w:p>
      <w:pPr>
        <w:pStyle w:val="692"/>
        <w:rPr>
          <w:lang w:val="ru-RU" w:eastAsia="ru-RU"/>
        </w:rPr>
      </w:pPr>
      <w:r>
        <w:rPr>
          <w:lang w:val="ru-RU" w:eastAsia="ru-RU"/>
        </w:rPr>
      </w:r>
      <w:r>
        <w:rPr>
          <w:lang w:val="ru-RU" w:eastAsia="ru-RU"/>
        </w:rPr>
      </w:r>
    </w:p>
    <w:p>
      <w:pPr>
        <w:pStyle w:val="692"/>
        <w:rPr>
          <w:bCs/>
          <w:lang w:val="ru-RU" w:eastAsia="ru-RU"/>
        </w:rPr>
      </w:pPr>
      <w:r>
        <w:rPr>
          <w:lang w:val="ru-RU" w:eastAsia="ru-RU"/>
        </w:rPr>
        <w:t xml:space="preserve">                                                        </w:t>
      </w:r>
      <w:r>
        <w:rPr>
          <w:lang w:val="ru-RU" w:eastAsia="ru-RU"/>
        </w:rPr>
        <w:t xml:space="preserve">    </w:t>
      </w:r>
      <w:r>
        <w:rPr>
          <w:lang w:val="ru-RU" w:eastAsia="ru-RU"/>
        </w:rPr>
        <w:t xml:space="preserve"> </w:t>
      </w:r>
      <w:r>
        <w:rPr>
          <w:bCs/>
          <w:lang w:val="ru-RU" w:eastAsia="ru-RU"/>
        </w:rPr>
      </w:r>
      <w:r>
        <w:rPr>
          <w:bCs/>
          <w:lang w:val="ru-RU" w:eastAsia="ru-RU"/>
        </w:rPr>
      </w:r>
    </w:p>
    <w:p>
      <w:pPr>
        <w:pStyle w:val="692"/>
        <w:rPr>
          <w:bCs/>
          <w:lang w:val="ru-RU" w:eastAsia="ru-RU"/>
        </w:rPr>
      </w:pPr>
      <w:r>
        <w:rPr>
          <w:bCs/>
          <w:lang w:val="ru-RU" w:eastAsia="ru-RU"/>
        </w:rPr>
        <w:t xml:space="preserve">Мэр Тайшетского</w:t>
      </w:r>
      <w:r>
        <w:rPr>
          <w:bCs/>
          <w:lang w:val="ru-RU" w:eastAsia="ru-RU"/>
        </w:rPr>
        <w:t xml:space="preserve"> </w:t>
      </w:r>
      <w:r>
        <w:rPr>
          <w:bCs/>
          <w:lang w:val="ru-RU" w:eastAsia="ru-RU"/>
        </w:rPr>
        <w:t xml:space="preserve">муниципального округа</w:t>
      </w:r>
      <w:r>
        <w:rPr>
          <w:bCs/>
          <w:lang w:val="ru-RU" w:eastAsia="ru-RU"/>
        </w:rPr>
        <w:t xml:space="preserve">     </w:t>
      </w:r>
      <w:r>
        <w:rPr>
          <w:bCs/>
          <w:lang w:val="ru-RU" w:eastAsia="ru-RU"/>
        </w:rPr>
        <w:t xml:space="preserve">                                                           </w:t>
      </w:r>
      <w:r>
        <w:rPr>
          <w:bCs/>
          <w:lang w:val="ru-RU" w:eastAsia="ru-RU"/>
        </w:rPr>
        <w:t xml:space="preserve">А.С. Кузин</w:t>
      </w:r>
      <w:r>
        <w:rPr>
          <w:bCs/>
          <w:lang w:val="ru-RU" w:eastAsia="ru-RU"/>
        </w:rPr>
        <w:t xml:space="preserve">    </w:t>
      </w:r>
      <w:r>
        <w:rPr>
          <w:bCs/>
          <w:lang w:val="ru-RU" w:eastAsia="ru-RU"/>
        </w:rPr>
        <w:t xml:space="preserve"> </w:t>
      </w:r>
      <w:r>
        <w:rPr>
          <w:bCs/>
          <w:lang w:val="ru-RU" w:eastAsia="ru-RU"/>
        </w:rPr>
        <w:t xml:space="preserve">                                                         </w:t>
      </w:r>
      <w:r>
        <w:rPr>
          <w:bCs/>
          <w:lang w:val="ru-RU" w:eastAsia="ru-RU"/>
        </w:rPr>
        <w:t xml:space="preserve">    </w:t>
      </w:r>
      <w:r>
        <w:rPr>
          <w:bCs/>
          <w:lang w:val="ru-RU" w:eastAsia="ru-RU"/>
        </w:rPr>
        <w:t xml:space="preserve"> </w:t>
      </w:r>
      <w:r>
        <w:rPr>
          <w:bCs/>
          <w:lang w:val="ru-RU" w:eastAsia="ru-RU"/>
        </w:rPr>
      </w:r>
      <w:r>
        <w:rPr>
          <w:bCs/>
          <w:lang w:val="ru-RU" w:eastAsia="ru-RU"/>
        </w:rPr>
      </w:r>
      <w:r>
        <w:rPr>
          <w:bCs/>
          <w:lang w:val="ru-RU" w:eastAsia="ru-RU"/>
        </w:rPr>
      </w:r>
    </w:p>
    <w:p>
      <w:pPr>
        <w:pStyle w:val="692"/>
        <w:rPr>
          <w:bCs/>
          <w:lang w:val="ru-RU" w:eastAsia="ru-RU"/>
        </w:rPr>
      </w:pPr>
      <w:r>
        <w:rPr>
          <w:bCs/>
          <w:lang w:val="ru-RU" w:eastAsia="ru-RU"/>
        </w:rPr>
        <w:t xml:space="preserve">                              </w:t>
      </w:r>
      <w:r>
        <w:rPr>
          <w:bCs/>
          <w:lang w:val="ru-RU" w:eastAsia="ru-RU"/>
        </w:rPr>
        <w:t xml:space="preserve"> </w:t>
      </w:r>
      <w:r>
        <w:rPr>
          <w:bCs/>
          <w:lang w:val="ru-RU" w:eastAsia="ru-RU"/>
        </w:rPr>
        <w:t xml:space="preserve">         </w:t>
      </w:r>
      <w:r>
        <w:rPr>
          <w:bCs/>
          <w:lang w:val="ru-RU" w:eastAsia="ru-RU"/>
        </w:rPr>
      </w:r>
    </w:p>
    <w:p>
      <w:pPr>
        <w:pStyle w:val="692"/>
        <w:rPr>
          <w:lang w:val="ru-RU" w:eastAsia="ru-RU"/>
        </w:rPr>
      </w:pPr>
      <w:r>
        <w:rPr>
          <w:lang w:val="ru-RU" w:eastAsia="ru-RU"/>
        </w:rPr>
      </w:r>
      <w:r>
        <w:rPr>
          <w:lang w:val="ru-RU" w:eastAsia="ru-RU"/>
        </w:rPr>
      </w:r>
    </w:p>
    <w:sectPr>
      <w:headerReference w:type="default" r:id="rId9"/>
      <w:footerReference w:type="default" r:id="rId10"/>
      <w:footerReference w:type="even" r:id="rId11"/>
      <w:footnotePr/>
      <w:endnotePr/>
      <w:type w:val="nextPage"/>
      <w:pgSz w:w="11906" w:h="16838" w:orient="portrait"/>
      <w:pgMar w:top="1134" w:right="851" w:bottom="1134" w:left="1701" w:header="709" w:footer="709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AG_CenturyOldStyle">
    <w:panose1 w:val="02020603050405020304"/>
  </w:font>
  <w:font w:name="Arial Unicode MS">
    <w:panose1 w:val="020B0604020202020204"/>
  </w:font>
  <w:font w:name="Arial">
    <w:panose1 w:val="020B06040202020202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0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0"/>
      <w:rPr>
        <w:rStyle w:val="711"/>
      </w:rPr>
      <w:framePr w:wrap="around" w:vAnchor="text" w:hAnchor="margin" w:xAlign="right" w:y="1"/>
    </w:pPr>
    <w:r>
      <w:rPr>
        <w:rStyle w:val="711"/>
      </w:rPr>
      <w:fldChar w:fldCharType="begin"/>
    </w:r>
    <w:r>
      <w:rPr>
        <w:rStyle w:val="711"/>
      </w:rPr>
      <w:instrText xml:space="preserve">PAGE  </w:instrText>
    </w:r>
    <w:r>
      <w:rPr>
        <w:rStyle w:val="711"/>
      </w:rPr>
      <w:fldChar w:fldCharType="separate"/>
    </w:r>
    <w:r>
      <w:rPr>
        <w:rStyle w:val="711"/>
      </w:rPr>
      <w:t xml:space="preserve">2</w:t>
    </w:r>
    <w:r>
      <w:rPr>
        <w:rStyle w:val="711"/>
      </w:rPr>
      <w:fldChar w:fldCharType="end"/>
    </w:r>
    <w:r>
      <w:rPr>
        <w:rStyle w:val="711"/>
      </w:rPr>
    </w:r>
    <w:r>
      <w:rPr>
        <w:rStyle w:val="711"/>
      </w:rPr>
    </w:r>
  </w:p>
  <w:p>
    <w:pPr>
      <w:pStyle w:val="710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ru-RU"/>
      </w:rPr>
      <w:t xml:space="preserve">2</w:t>
    </w:r>
    <w:r>
      <w:fldChar w:fldCharType="end"/>
    </w:r>
    <w:r/>
  </w:p>
  <w:p>
    <w:pPr>
      <w:pStyle w:val="71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3"/>
      <w:numFmt w:val="decimal"/>
      <w:isLgl w:val="false"/>
      <w:suff w:val="tab"/>
      <w:lvlText w:val="%1.%2."/>
      <w:lvlJc w:val="left"/>
      <w:pPr>
        <w:ind w:left="660" w:hanging="36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6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5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5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200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60" w:hanging="360"/>
        <w:tabs>
          <w:tab w:val="num" w:pos="9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80" w:hanging="360"/>
        <w:tabs>
          <w:tab w:val="num" w:pos="16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400" w:hanging="180"/>
        <w:tabs>
          <w:tab w:val="num" w:pos="24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120" w:hanging="360"/>
        <w:tabs>
          <w:tab w:val="num" w:pos="31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40" w:hanging="360"/>
        <w:tabs>
          <w:tab w:val="num" w:pos="38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60" w:hanging="180"/>
        <w:tabs>
          <w:tab w:val="num" w:pos="45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80" w:hanging="360"/>
        <w:tabs>
          <w:tab w:val="num" w:pos="52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000" w:hanging="360"/>
        <w:tabs>
          <w:tab w:val="num" w:pos="60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720" w:hanging="180"/>
        <w:tabs>
          <w:tab w:val="num" w:pos="6720" w:leader="none"/>
        </w:tabs>
      </w:pPr>
    </w:lvl>
  </w:abstractNum>
  <w:abstractNum w:abstractNumId="3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ind w:left="84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68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216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300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34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432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480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5640" w:hanging="180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7934" w:hanging="4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0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3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4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0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180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30" w:hanging="510"/>
        <w:tabs>
          <w:tab w:val="num" w:pos="123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70" w:hanging="870"/>
        <w:tabs>
          <w:tab w:val="num" w:pos="147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80" w:hanging="360"/>
        <w:tabs>
          <w:tab w:val="num" w:pos="16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400" w:hanging="180"/>
        <w:tabs>
          <w:tab w:val="num" w:pos="24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120" w:hanging="360"/>
        <w:tabs>
          <w:tab w:val="num" w:pos="31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40" w:hanging="360"/>
        <w:tabs>
          <w:tab w:val="num" w:pos="38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60" w:hanging="180"/>
        <w:tabs>
          <w:tab w:val="num" w:pos="45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80" w:hanging="360"/>
        <w:tabs>
          <w:tab w:val="num" w:pos="52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000" w:hanging="360"/>
        <w:tabs>
          <w:tab w:val="num" w:pos="60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720" w:hanging="180"/>
        <w:tabs>
          <w:tab w:val="num" w:pos="6720" w:leader="none"/>
        </w:tabs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7934" w:hanging="4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0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70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7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3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4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06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1800"/>
      </w:pPr>
    </w:lvl>
  </w:abstractNum>
  <w:abstractNum w:abstractNumId="12">
    <w:multiLevelType w:val="hybridMultilevel"/>
    <w:lvl w:ilvl="0">
      <w:start w:val="2"/>
      <w:numFmt w:val="decimal"/>
      <w:isLgl w:val="false"/>
      <w:suff w:val="tab"/>
      <w:lvlText w:val="%1)"/>
      <w:lvlJc w:val="left"/>
      <w:pPr>
        <w:ind w:left="960" w:hanging="360"/>
        <w:tabs>
          <w:tab w:val="num" w:pos="9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80" w:hanging="360"/>
        <w:tabs>
          <w:tab w:val="num" w:pos="16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400" w:hanging="180"/>
        <w:tabs>
          <w:tab w:val="num" w:pos="24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120" w:hanging="360"/>
        <w:tabs>
          <w:tab w:val="num" w:pos="31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40" w:hanging="360"/>
        <w:tabs>
          <w:tab w:val="num" w:pos="38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60" w:hanging="180"/>
        <w:tabs>
          <w:tab w:val="num" w:pos="45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80" w:hanging="360"/>
        <w:tabs>
          <w:tab w:val="num" w:pos="52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000" w:hanging="360"/>
        <w:tabs>
          <w:tab w:val="num" w:pos="60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720" w:hanging="180"/>
        <w:tabs>
          <w:tab w:val="num" w:pos="6720" w:leader="none"/>
        </w:tabs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9"/>
  </w:num>
  <w:num w:numId="4">
    <w:abstractNumId w:val="12"/>
  </w:num>
  <w:num w:numId="5">
    <w:abstractNumId w:val="6"/>
  </w:num>
  <w:num w:numId="6">
    <w:abstractNumId w:val="6"/>
  </w:num>
  <w:num w:numId="7">
    <w:abstractNumId w:val="1"/>
  </w:num>
  <w:num w:numId="8">
    <w:abstractNumId w:val="6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1"/>
  </w:num>
  <w:num w:numId="12">
    <w:abstractNumId w:val="5"/>
  </w:num>
  <w:num w:numId="13">
    <w:abstractNumId w:val="7"/>
  </w:num>
  <w:num w:numId="14">
    <w:abstractNumId w:val="0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92"/>
    <w:next w:val="692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92"/>
    <w:next w:val="692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92"/>
    <w:next w:val="692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92"/>
    <w:next w:val="692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92"/>
    <w:next w:val="692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92"/>
    <w:next w:val="692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92"/>
    <w:next w:val="692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92"/>
    <w:next w:val="692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92"/>
    <w:next w:val="692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92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92"/>
    <w:next w:val="692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92"/>
    <w:next w:val="692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92"/>
    <w:next w:val="692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92"/>
    <w:next w:val="692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92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92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92"/>
    <w:next w:val="692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11"/>
    <w:link w:val="46"/>
    <w:uiPriority w:val="35"/>
    <w:rPr>
      <w:b/>
      <w:bCs/>
      <w:color w:val="4f81bd" w:themeColor="accent1"/>
      <w:sz w:val="18"/>
      <w:szCs w:val="18"/>
    </w:rPr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92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92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92"/>
    <w:next w:val="692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92"/>
    <w:next w:val="692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92"/>
    <w:next w:val="692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92"/>
    <w:next w:val="692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92"/>
    <w:next w:val="692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92"/>
    <w:next w:val="692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92"/>
    <w:next w:val="692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92"/>
    <w:next w:val="692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92"/>
    <w:next w:val="692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92"/>
    <w:next w:val="692"/>
    <w:uiPriority w:val="99"/>
    <w:unhideWhenUsed/>
    <w:pPr>
      <w:spacing w:after="0" w:afterAutospacing="0"/>
    </w:pPr>
  </w:style>
  <w:style w:type="paragraph" w:styleId="692" w:default="1">
    <w:name w:val="Normal"/>
    <w:next w:val="692"/>
    <w:link w:val="692"/>
    <w:qFormat/>
    <w:rPr>
      <w:sz w:val="24"/>
      <w:szCs w:val="24"/>
      <w:lang w:val="en-US" w:eastAsia="en-US" w:bidi="ar-SA"/>
    </w:rPr>
  </w:style>
  <w:style w:type="paragraph" w:styleId="693">
    <w:name w:val="Заголовок 1"/>
    <w:basedOn w:val="692"/>
    <w:next w:val="692"/>
    <w:link w:val="692"/>
    <w:qFormat/>
    <w:pPr>
      <w:keepNext/>
      <w:spacing w:line="360" w:lineRule="auto"/>
      <w:outlineLvl w:val="0"/>
    </w:pPr>
    <w:rPr>
      <w:rFonts w:ascii="AG_CenturyOldStyle" w:hAnsi="AG_CenturyOldStyle"/>
      <w:b/>
      <w:sz w:val="28"/>
      <w:szCs w:val="20"/>
      <w:lang w:val="ru-RU" w:eastAsia="ru-RU"/>
    </w:rPr>
  </w:style>
  <w:style w:type="paragraph" w:styleId="694">
    <w:name w:val="Заголовок 3"/>
    <w:basedOn w:val="692"/>
    <w:next w:val="692"/>
    <w:link w:val="692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95">
    <w:name w:val="Заголовок 5"/>
    <w:basedOn w:val="692"/>
    <w:next w:val="692"/>
    <w:link w:val="692"/>
    <w:qFormat/>
    <w:pPr>
      <w:jc w:val="center"/>
      <w:keepNext/>
      <w:outlineLvl w:val="4"/>
    </w:pPr>
    <w:rPr>
      <w:rFonts w:ascii="AG_CenturyOldStyle" w:hAnsi="AG_CenturyOldStyle"/>
      <w:b/>
      <w:sz w:val="32"/>
      <w:szCs w:val="20"/>
      <w:lang w:val="ru-RU" w:eastAsia="ru-RU"/>
    </w:rPr>
  </w:style>
  <w:style w:type="paragraph" w:styleId="696">
    <w:name w:val="Заголовок 6"/>
    <w:basedOn w:val="692"/>
    <w:next w:val="692"/>
    <w:link w:val="692"/>
    <w:qFormat/>
    <w:pPr>
      <w:jc w:val="center"/>
      <w:keepNext/>
      <w:outlineLvl w:val="5"/>
    </w:pPr>
    <w:rPr>
      <w:rFonts w:ascii="AG_CenturyOldStyle" w:hAnsi="AG_CenturyOldStyle"/>
      <w:b/>
      <w:sz w:val="28"/>
      <w:szCs w:val="20"/>
      <w:lang w:val="ru-RU" w:eastAsia="ru-RU"/>
    </w:rPr>
  </w:style>
  <w:style w:type="paragraph" w:styleId="697">
    <w:name w:val="Заголовок 7"/>
    <w:basedOn w:val="692"/>
    <w:next w:val="692"/>
    <w:link w:val="692"/>
    <w:qFormat/>
    <w:pPr>
      <w:jc w:val="center"/>
      <w:keepNext/>
      <w:outlineLvl w:val="6"/>
    </w:pPr>
    <w:rPr>
      <w:rFonts w:ascii="AG_CenturyOldStyle" w:hAnsi="AG_CenturyOldStyle"/>
      <w:b/>
      <w:sz w:val="44"/>
      <w:szCs w:val="20"/>
      <w:lang w:val="ru-RU" w:eastAsia="ru-RU"/>
    </w:rPr>
  </w:style>
  <w:style w:type="character" w:styleId="698">
    <w:name w:val="Основной шрифт абзаца"/>
    <w:next w:val="698"/>
    <w:link w:val="692"/>
    <w:semiHidden/>
  </w:style>
  <w:style w:type="table" w:styleId="699">
    <w:name w:val="Обычная таблица"/>
    <w:next w:val="699"/>
    <w:link w:val="692"/>
    <w:semiHidden/>
    <w:tblPr/>
  </w:style>
  <w:style w:type="numbering" w:styleId="700">
    <w:name w:val="Нет списка"/>
    <w:next w:val="700"/>
    <w:link w:val="692"/>
    <w:semiHidden/>
  </w:style>
  <w:style w:type="paragraph" w:styleId="701">
    <w:name w:val="ConsNormal"/>
    <w:next w:val="701"/>
    <w:link w:val="692"/>
    <w:pPr>
      <w:ind w:right="19772" w:firstLine="720"/>
      <w:widowControl w:val="off"/>
    </w:pPr>
    <w:rPr>
      <w:rFonts w:ascii="Arial" w:hAnsi="Arial" w:cs="Arial"/>
      <w:lang w:val="ru-RU" w:eastAsia="en-US" w:bidi="ar-SA"/>
    </w:rPr>
  </w:style>
  <w:style w:type="character" w:styleId="702">
    <w:name w:val="hl41"/>
    <w:next w:val="702"/>
    <w:link w:val="692"/>
    <w:rPr>
      <w:b/>
      <w:bCs/>
      <w:sz w:val="20"/>
      <w:szCs w:val="20"/>
    </w:rPr>
  </w:style>
  <w:style w:type="paragraph" w:styleId="703">
    <w:name w:val="Обычный (Web)"/>
    <w:basedOn w:val="692"/>
    <w:next w:val="703"/>
    <w:link w:val="692"/>
    <w:pPr>
      <w:spacing w:before="100" w:after="100"/>
    </w:pPr>
    <w:rPr>
      <w:rFonts w:ascii="Arial Unicode MS" w:hAnsi="Arial Unicode MS" w:eastAsia="Arial Unicode MS"/>
      <w:lang w:val="ru-RU"/>
    </w:rPr>
  </w:style>
  <w:style w:type="paragraph" w:styleId="704">
    <w:name w:val="Основной текст"/>
    <w:basedOn w:val="692"/>
    <w:next w:val="704"/>
    <w:link w:val="714"/>
    <w:pPr>
      <w:spacing w:after="120"/>
    </w:pPr>
  </w:style>
  <w:style w:type="paragraph" w:styleId="705">
    <w:name w:val="Основной текст с отступом"/>
    <w:basedOn w:val="692"/>
    <w:next w:val="705"/>
    <w:link w:val="692"/>
    <w:pPr>
      <w:ind w:left="283"/>
      <w:spacing w:after="120"/>
    </w:pPr>
  </w:style>
  <w:style w:type="paragraph" w:styleId="706">
    <w:name w:val="Текст выноски"/>
    <w:basedOn w:val="692"/>
    <w:next w:val="706"/>
    <w:link w:val="692"/>
    <w:semiHidden/>
    <w:rPr>
      <w:rFonts w:ascii="Tahoma" w:hAnsi="Tahoma" w:cs="Tahoma"/>
      <w:sz w:val="16"/>
      <w:szCs w:val="16"/>
    </w:rPr>
  </w:style>
  <w:style w:type="paragraph" w:styleId="707">
    <w:name w:val="Обычный (веб)"/>
    <w:basedOn w:val="692"/>
    <w:next w:val="707"/>
    <w:link w:val="692"/>
    <w:pPr>
      <w:spacing w:before="100" w:beforeAutospacing="1" w:after="100" w:afterAutospacing="1"/>
    </w:pPr>
    <w:rPr>
      <w:sz w:val="21"/>
      <w:szCs w:val="21"/>
      <w:lang w:val="ru-RU" w:eastAsia="ru-RU"/>
    </w:rPr>
  </w:style>
  <w:style w:type="paragraph" w:styleId="708">
    <w:name w:val="Основной текст 2"/>
    <w:basedOn w:val="692"/>
    <w:next w:val="708"/>
    <w:link w:val="692"/>
    <w:pPr>
      <w:spacing w:after="120" w:line="480" w:lineRule="auto"/>
    </w:pPr>
  </w:style>
  <w:style w:type="paragraph" w:styleId="709">
    <w:name w:val="ConsPlusNormal"/>
    <w:next w:val="709"/>
    <w:link w:val="692"/>
    <w:pPr>
      <w:ind w:firstLine="720"/>
    </w:pPr>
    <w:rPr>
      <w:rFonts w:ascii="Arial" w:hAnsi="Arial" w:cs="Arial"/>
      <w:lang w:val="ru-RU" w:eastAsia="ru-RU" w:bidi="ar-SA"/>
    </w:rPr>
  </w:style>
  <w:style w:type="paragraph" w:styleId="710">
    <w:name w:val="Нижний колонтитул"/>
    <w:basedOn w:val="692"/>
    <w:next w:val="710"/>
    <w:link w:val="692"/>
    <w:pPr>
      <w:tabs>
        <w:tab w:val="center" w:pos="4677" w:leader="none"/>
        <w:tab w:val="right" w:pos="9355" w:leader="none"/>
      </w:tabs>
    </w:pPr>
  </w:style>
  <w:style w:type="character" w:styleId="711">
    <w:name w:val="Номер страницы"/>
    <w:basedOn w:val="698"/>
    <w:next w:val="711"/>
    <w:link w:val="692"/>
  </w:style>
  <w:style w:type="paragraph" w:styleId="712">
    <w:name w:val="Знак Знак Знак Знак"/>
    <w:basedOn w:val="692"/>
    <w:next w:val="712"/>
    <w:link w:val="692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styleId="713">
    <w:name w:val="Гиперссылка"/>
    <w:next w:val="713"/>
    <w:link w:val="692"/>
    <w:rPr>
      <w:color w:val="0000ff"/>
      <w:u w:val="single"/>
    </w:rPr>
  </w:style>
  <w:style w:type="character" w:styleId="714">
    <w:name w:val="Основной текст Знак"/>
    <w:next w:val="714"/>
    <w:link w:val="704"/>
    <w:rPr>
      <w:sz w:val="24"/>
      <w:szCs w:val="24"/>
      <w:lang w:val="en-US" w:eastAsia="en-US"/>
    </w:rPr>
  </w:style>
  <w:style w:type="paragraph" w:styleId="715">
    <w:name w:val="Верхний колонтитул"/>
    <w:basedOn w:val="692"/>
    <w:next w:val="715"/>
    <w:link w:val="716"/>
    <w:uiPriority w:val="99"/>
    <w:pPr>
      <w:tabs>
        <w:tab w:val="center" w:pos="4677" w:leader="none"/>
        <w:tab w:val="right" w:pos="9355" w:leader="none"/>
      </w:tabs>
    </w:pPr>
  </w:style>
  <w:style w:type="character" w:styleId="716">
    <w:name w:val="Верхний колонтитул Знак"/>
    <w:next w:val="716"/>
    <w:link w:val="715"/>
    <w:uiPriority w:val="99"/>
    <w:rPr>
      <w:sz w:val="24"/>
      <w:szCs w:val="24"/>
      <w:lang w:val="en-US" w:eastAsia="en-US"/>
    </w:rPr>
  </w:style>
  <w:style w:type="character" w:styleId="717">
    <w:name w:val="Выделение"/>
    <w:next w:val="717"/>
    <w:link w:val="692"/>
    <w:qFormat/>
    <w:rPr>
      <w:i/>
      <w:iCs/>
    </w:rPr>
  </w:style>
  <w:style w:type="paragraph" w:styleId="718">
    <w:name w:val="Абзац списка"/>
    <w:basedOn w:val="692"/>
    <w:next w:val="718"/>
    <w:link w:val="692"/>
    <w:uiPriority w:val="34"/>
    <w:qFormat/>
    <w:pPr>
      <w:contextualSpacing/>
      <w:ind w:left="720"/>
      <w:spacing w:after="200" w:line="276" w:lineRule="auto"/>
    </w:pPr>
    <w:rPr>
      <w:rFonts w:ascii="Calibri" w:hAnsi="Calibri" w:eastAsia="Calibri"/>
      <w:sz w:val="22"/>
      <w:szCs w:val="22"/>
      <w:lang w:val="ru-RU"/>
    </w:rPr>
  </w:style>
  <w:style w:type="table" w:styleId="719">
    <w:name w:val="Сетка таблицы"/>
    <w:basedOn w:val="699"/>
    <w:next w:val="719"/>
    <w:link w:val="692"/>
    <w:tblPr/>
  </w:style>
  <w:style w:type="character" w:styleId="1178" w:default="1">
    <w:name w:val="Default Paragraph Font"/>
    <w:uiPriority w:val="1"/>
    <w:semiHidden/>
    <w:unhideWhenUsed/>
  </w:style>
  <w:style w:type="numbering" w:styleId="1179" w:default="1">
    <w:name w:val="No List"/>
    <w:uiPriority w:val="99"/>
    <w:semiHidden/>
    <w:unhideWhenUsed/>
  </w:style>
  <w:style w:type="table" w:styleId="118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SPecialiST RePack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 о с с и й с к а я      Ф е д е р а ц и я</dc:title>
  <dc:creator>user</dc:creator>
  <cp:lastModifiedBy>elizarova</cp:lastModifiedBy>
  <cp:revision>45</cp:revision>
  <dcterms:created xsi:type="dcterms:W3CDTF">2026-02-09T07:26:00Z</dcterms:created>
  <dcterms:modified xsi:type="dcterms:W3CDTF">2026-07-23T09:20:53Z</dcterms:modified>
  <cp:version>983040</cp:version>
</cp:coreProperties>
</file>